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Strong"/>
          <w:rFonts w:ascii="Georgia" w:hAnsi="Georgia"/>
          <w:color w:val="800080"/>
          <w:sz w:val="36"/>
          <w:szCs w:val="3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-56515</wp:posOffset>
                </wp:positionH>
                <wp:positionV relativeFrom="margin">
                  <wp:align>top</wp:align>
                </wp:positionV>
                <wp:extent cx="3715385" cy="3829685"/>
                <wp:effectExtent l="266700" t="171450" r="0" b="323850"/>
                <wp:wrapSquare wrapText="bothSides"/>
                <wp:docPr id="1" name="Kép 1" descr="C:\Users\Ági\Desktop\bojt_01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C:\Users\Ági\Desktop\bojt_01.jpg"/>
                        <pic:cNvPicPr/>
                      </pic:nvPicPr>
                      <pic:blipFill>
                        <a:blip r:embed="rId2"/>
                        <a:srcRect l="31521" t="0" r="0" b="5739"/>
                        <a:stretch/>
                      </pic:blipFill>
                      <pic:spPr>
                        <a:xfrm>
                          <a:off x="0" y="0"/>
                          <a:ext cx="3714840" cy="382896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algn="ctr" blurRad="225425" dir="5227022" dist="50103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fov="3300000" prst="perspectiveFront">
                            <a:rot lat="486000" lon="19530000" rev="174000"/>
                          </a:camera>
                          <a:lightRig dir="t" rig="harsh">
                            <a:rot lat="0" lon="0" rev="3000000"/>
                          </a:lightRig>
                        </a:scene3d>
                        <a:sp3d extrusionH="254000" contourW="19050">
                          <a:bevelT prst="angle" w="82550" h="44450"/>
                          <a:bevelB prst="angle" w="82550" h="444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Kép 1" stroked="f" style="position:absolute;margin-left:-4.45pt;margin-top:13.5pt;width:292.45pt;height:301.45pt;mso-position-horizontal-relative:margin;mso-position-vertical:top;mso-position-vertical-relative:margin" type="shapetype_75">
                <v:imagedata r:id="rId2" o:detectmouseclick="t"/>
                <w10:wrap type="none"/>
                <v:stroke color="#3465a4" weight="9360" joinstyle="miter" endcap="flat"/>
              </v:shape>
            </w:pict>
          </mc:Fallback>
        </mc:AlternateContent>
      </w:r>
      <w:r>
        <w:rPr>
          <w:rStyle w:val="Strong"/>
          <w:rFonts w:ascii="Georgia" w:hAnsi="Georgia"/>
          <w:color w:val="800080"/>
          <w:sz w:val="36"/>
          <w:szCs w:val="36"/>
        </w:rPr>
        <w:t>„</w:t>
      </w:r>
      <w:r>
        <w:rPr>
          <w:rStyle w:val="Strong"/>
          <w:rFonts w:ascii="Georgia" w:hAnsi="Georgia"/>
          <w:color w:val="800080"/>
          <w:sz w:val="36"/>
          <w:szCs w:val="36"/>
        </w:rPr>
        <w:t>Tartsatok bűnbánatot                                 és higgyetek az evangéliumban!”</w:t>
      </w:r>
    </w:p>
    <w:p>
      <w:pPr>
        <w:pStyle w:val="Normal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 nagyböjt, a húsvétra felkészítő negyvennapos előkészületi időszak                                                        hamvazószerdán veszi kezdetét.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 keresztények ebben a bűnbánati időszakban hitük elmélyítésével, kiengesztelődéssel és böjttel készülnek húsvét ünnepére, Jézus Krisztus halálára és feltámadására.</w:t>
      </w:r>
    </w:p>
    <w:p>
      <w:pPr>
        <w:pStyle w:val="Normal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color w:val="9900CC"/>
          <w:sz w:val="36"/>
          <w:szCs w:val="36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color w:val="9900CC"/>
          <w:sz w:val="36"/>
          <w:szCs w:val="36"/>
        </w:rPr>
        <w:t>Kereszt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Uram, a minap azt kérdeztem valakitől itt a héregi templomban, hogy hogy van?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Azt válaszolta: „Aki ide, az Isten házába el tud jönni, és itt énekelni tud, az jól van.”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Add Uram, hogy ha már nem tudunk eljönni ide, a Te házadba, mert gyöngék vagyunk,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mert öregek vagyunk, vagy mert húz a betegágy, akkor is jól legyünk.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Add úgy élnünk, hogy az otthonunk templom legyen, hogy a kórházi kórterem templom legyen, hogy az idősek otthonának szobája, folyosója, konyhája templom legyen!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Add, hogy ne érezzük nyűgnek a keresztet, amit Te adtál nekünk. Uram!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Mert a kereszt nem büntetés. A kereszt: feladat. A kereszt: életünk értelme.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Születésünkkor kapjuk, s a veled való találkozáskor tehetjük csak le.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Add, hogy akkor is majd mondhassuk: „Aki ide, hozzád, haza tudott érkezni, az jól van.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Köszönöm, Uram, a keresztemet.”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</w:rPr>
        <w:t>Forrás: Döbrentey Ildikó: Beszélgetek az Úrral - 21. századi imák c. kötetéből</w:t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720" w:right="720" w:header="0" w:top="72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9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a2b8b"/>
    <w:rPr>
      <w:b/>
      <w:bCs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b81cc6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81c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LibreOffice/6.2.4.2$Windows_X86_64 LibreOffice_project/2412653d852ce75f65fbfa83fb7e7b669a126d64</Application>
  <Pages>1</Pages>
  <Words>182</Words>
  <Characters>1039</Characters>
  <CharactersWithSpaces>1713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2022-01-14T16:55:00Z</dcterms:created>
  <dc:creator>Ági</dc:creator>
  <dc:description/>
  <dc:language>hu-HU</dc:language>
  <cp:lastModifiedBy/>
  <dcterms:modified xsi:type="dcterms:W3CDTF">2022-01-17T11:17:17Z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